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2B" w:rsidRDefault="00B53C2B" w:rsidP="00B53C2B">
      <w:pPr>
        <w:spacing w:after="0"/>
        <w:rPr>
          <w:color w:val="000000" w:themeColor="text1"/>
          <w:sz w:val="28"/>
          <w:szCs w:val="28"/>
        </w:rPr>
      </w:pPr>
      <w:r>
        <w:rPr>
          <w:noProof/>
          <w:color w:val="000000" w:themeColor="text1"/>
          <w:sz w:val="28"/>
          <w:szCs w:val="28"/>
        </w:rPr>
        <w:drawing>
          <wp:inline distT="0" distB="0" distL="0" distR="0">
            <wp:extent cx="674370" cy="619454"/>
            <wp:effectExtent l="19050" t="0" r="0" b="0"/>
            <wp:docPr id="1" name="Picture 0" descr="DBHDS_Logo_Web_06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HDS_Logo_Web_062014.png"/>
                    <pic:cNvPicPr/>
                  </pic:nvPicPr>
                  <pic:blipFill>
                    <a:blip r:embed="rId8" cstate="print"/>
                    <a:stretch>
                      <a:fillRect/>
                    </a:stretch>
                  </pic:blipFill>
                  <pic:spPr>
                    <a:xfrm>
                      <a:off x="0" y="0"/>
                      <a:ext cx="684868" cy="629097"/>
                    </a:xfrm>
                    <a:prstGeom prst="rect">
                      <a:avLst/>
                    </a:prstGeom>
                  </pic:spPr>
                </pic:pic>
              </a:graphicData>
            </a:graphic>
          </wp:inline>
        </w:drawing>
      </w:r>
    </w:p>
    <w:p w:rsidR="00B53C2B" w:rsidRDefault="00B53C2B" w:rsidP="00B53C2B">
      <w:pPr>
        <w:spacing w:after="0"/>
        <w:jc w:val="center"/>
        <w:rPr>
          <w:color w:val="000000" w:themeColor="text1"/>
          <w:sz w:val="36"/>
          <w:szCs w:val="36"/>
        </w:rPr>
      </w:pPr>
    </w:p>
    <w:p w:rsidR="00B53C2B" w:rsidRPr="00B53C2B" w:rsidRDefault="00B53C2B" w:rsidP="00B53C2B">
      <w:pPr>
        <w:spacing w:after="0"/>
        <w:jc w:val="center"/>
        <w:rPr>
          <w:color w:val="000000" w:themeColor="text1"/>
          <w:sz w:val="36"/>
          <w:szCs w:val="36"/>
        </w:rPr>
      </w:pPr>
      <w:r w:rsidRPr="00B53C2B">
        <w:rPr>
          <w:color w:val="000000" w:themeColor="text1"/>
          <w:sz w:val="36"/>
          <w:szCs w:val="36"/>
        </w:rPr>
        <w:t xml:space="preserve">Virginia’s </w:t>
      </w:r>
      <w:r w:rsidRPr="00B53C2B">
        <w:rPr>
          <w:i/>
          <w:color w:val="000000" w:themeColor="text1"/>
          <w:sz w:val="36"/>
          <w:szCs w:val="36"/>
        </w:rPr>
        <w:t>Handle with C.A.R.E.</w:t>
      </w:r>
      <w:r w:rsidRPr="00B53C2B">
        <w:rPr>
          <w:color w:val="000000" w:themeColor="text1"/>
          <w:sz w:val="36"/>
          <w:szCs w:val="36"/>
        </w:rPr>
        <w:t xml:space="preserve"> Initiative</w:t>
      </w:r>
    </w:p>
    <w:p w:rsidR="00B53C2B" w:rsidRPr="00B53C2B" w:rsidRDefault="00B53C2B" w:rsidP="00B53C2B">
      <w:pPr>
        <w:spacing w:after="0"/>
        <w:jc w:val="center"/>
        <w:rPr>
          <w:color w:val="000000" w:themeColor="text1"/>
          <w:sz w:val="36"/>
          <w:szCs w:val="36"/>
        </w:rPr>
      </w:pPr>
      <w:r w:rsidRPr="00B53C2B">
        <w:rPr>
          <w:color w:val="000000" w:themeColor="text1"/>
          <w:sz w:val="36"/>
          <w:szCs w:val="36"/>
        </w:rPr>
        <w:t>Department of Behavioral Health and Developmental Services</w:t>
      </w:r>
    </w:p>
    <w:p w:rsidR="00B53C2B" w:rsidRPr="00B53C2B" w:rsidRDefault="00B53C2B" w:rsidP="00B53C2B">
      <w:pPr>
        <w:spacing w:after="0"/>
        <w:jc w:val="center"/>
        <w:rPr>
          <w:i/>
          <w:color w:val="000000" w:themeColor="text1"/>
          <w:sz w:val="36"/>
          <w:szCs w:val="36"/>
        </w:rPr>
      </w:pPr>
    </w:p>
    <w:p w:rsidR="00B53C2B" w:rsidRPr="002C6D94" w:rsidRDefault="00B53C2B" w:rsidP="00B53C2B">
      <w:pPr>
        <w:spacing w:after="0"/>
        <w:jc w:val="center"/>
        <w:rPr>
          <w:b/>
          <w:i/>
          <w:color w:val="538135" w:themeColor="accent6" w:themeShade="BF"/>
          <w:sz w:val="44"/>
          <w:szCs w:val="44"/>
        </w:rPr>
      </w:pPr>
      <w:r w:rsidRPr="002C6D94">
        <w:rPr>
          <w:b/>
          <w:i/>
          <w:color w:val="538135" w:themeColor="accent6" w:themeShade="BF"/>
          <w:sz w:val="44"/>
          <w:szCs w:val="44"/>
        </w:rPr>
        <w:t>C</w:t>
      </w:r>
      <w:r w:rsidRPr="002C6D94">
        <w:rPr>
          <w:i/>
          <w:color w:val="538135" w:themeColor="accent6" w:themeShade="BF"/>
          <w:sz w:val="44"/>
          <w:szCs w:val="44"/>
        </w:rPr>
        <w:t>oordinating</w:t>
      </w:r>
      <w:r w:rsidRPr="002C6D94">
        <w:rPr>
          <w:b/>
          <w:i/>
          <w:color w:val="538135" w:themeColor="accent6" w:themeShade="BF"/>
          <w:sz w:val="44"/>
          <w:szCs w:val="44"/>
        </w:rPr>
        <w:t xml:space="preserve"> A</w:t>
      </w:r>
      <w:r w:rsidRPr="002C6D94">
        <w:rPr>
          <w:i/>
          <w:color w:val="538135" w:themeColor="accent6" w:themeShade="BF"/>
          <w:sz w:val="44"/>
          <w:szCs w:val="44"/>
        </w:rPr>
        <w:t>ccess</w:t>
      </w:r>
      <w:r w:rsidRPr="002C6D94">
        <w:rPr>
          <w:b/>
          <w:i/>
          <w:color w:val="538135" w:themeColor="accent6" w:themeShade="BF"/>
          <w:sz w:val="44"/>
          <w:szCs w:val="44"/>
        </w:rPr>
        <w:t>- R</w:t>
      </w:r>
      <w:r w:rsidRPr="002C6D94">
        <w:rPr>
          <w:i/>
          <w:color w:val="538135" w:themeColor="accent6" w:themeShade="BF"/>
          <w:sz w:val="44"/>
          <w:szCs w:val="44"/>
        </w:rPr>
        <w:t>esponding</w:t>
      </w:r>
      <w:r w:rsidRPr="002C6D94">
        <w:rPr>
          <w:b/>
          <w:i/>
          <w:color w:val="538135" w:themeColor="accent6" w:themeShade="BF"/>
          <w:sz w:val="44"/>
          <w:szCs w:val="44"/>
        </w:rPr>
        <w:t xml:space="preserve"> E</w:t>
      </w:r>
      <w:r w:rsidRPr="002C6D94">
        <w:rPr>
          <w:i/>
          <w:color w:val="538135" w:themeColor="accent6" w:themeShade="BF"/>
          <w:sz w:val="44"/>
          <w:szCs w:val="44"/>
        </w:rPr>
        <w:t>ffectively</w:t>
      </w:r>
    </w:p>
    <w:p w:rsidR="00B53C2B" w:rsidRPr="002C6D94" w:rsidRDefault="00B53C2B" w:rsidP="00B53C2B">
      <w:pPr>
        <w:spacing w:after="0"/>
        <w:jc w:val="center"/>
        <w:rPr>
          <w:i/>
          <w:color w:val="538135" w:themeColor="accent6" w:themeShade="BF"/>
          <w:sz w:val="44"/>
          <w:szCs w:val="44"/>
        </w:rPr>
      </w:pPr>
      <w:r w:rsidRPr="002C6D94">
        <w:rPr>
          <w:i/>
          <w:color w:val="538135" w:themeColor="accent6" w:themeShade="BF"/>
          <w:sz w:val="44"/>
          <w:szCs w:val="44"/>
        </w:rPr>
        <w:t xml:space="preserve"> </w:t>
      </w:r>
      <w:proofErr w:type="gramStart"/>
      <w:r w:rsidRPr="002C6D94">
        <w:rPr>
          <w:i/>
          <w:color w:val="538135" w:themeColor="accent6" w:themeShade="BF"/>
          <w:sz w:val="44"/>
          <w:szCs w:val="44"/>
        </w:rPr>
        <w:t>to</w:t>
      </w:r>
      <w:proofErr w:type="gramEnd"/>
      <w:r w:rsidRPr="002C6D94">
        <w:rPr>
          <w:i/>
          <w:color w:val="538135" w:themeColor="accent6" w:themeShade="BF"/>
          <w:sz w:val="44"/>
          <w:szCs w:val="44"/>
        </w:rPr>
        <w:t xml:space="preserve"> Maternal Substance Use and the Needs of Substance Exposed/Endangered Children</w:t>
      </w:r>
    </w:p>
    <w:p w:rsidR="00B53C2B" w:rsidRPr="00B53C2B" w:rsidRDefault="00B53C2B" w:rsidP="00B53C2B">
      <w:pPr>
        <w:spacing w:after="0"/>
        <w:jc w:val="center"/>
        <w:rPr>
          <w:color w:val="000000" w:themeColor="text1"/>
          <w:sz w:val="36"/>
          <w:szCs w:val="36"/>
        </w:rPr>
      </w:pPr>
    </w:p>
    <w:p w:rsidR="00B53C2B" w:rsidRDefault="00B53C2B" w:rsidP="00B53C2B">
      <w:pPr>
        <w:spacing w:after="0"/>
        <w:jc w:val="center"/>
        <w:rPr>
          <w:color w:val="000000" w:themeColor="text1"/>
          <w:sz w:val="36"/>
          <w:szCs w:val="36"/>
        </w:rPr>
      </w:pPr>
    </w:p>
    <w:p w:rsidR="00B53C2B" w:rsidRPr="00B53C2B" w:rsidRDefault="00B53C2B" w:rsidP="00F914C0">
      <w:pPr>
        <w:pBdr>
          <w:top w:val="single" w:sz="24" w:space="1" w:color="538135" w:themeColor="accent6" w:themeShade="BF"/>
          <w:left w:val="single" w:sz="24" w:space="0" w:color="538135" w:themeColor="accent6" w:themeShade="BF"/>
          <w:bottom w:val="single" w:sz="24" w:space="1" w:color="538135" w:themeColor="accent6" w:themeShade="BF"/>
          <w:right w:val="single" w:sz="24" w:space="4" w:color="538135" w:themeColor="accent6" w:themeShade="BF"/>
        </w:pBdr>
        <w:spacing w:after="0"/>
        <w:ind w:left="1080" w:right="1080"/>
        <w:jc w:val="center"/>
        <w:rPr>
          <w:color w:val="000000" w:themeColor="text1"/>
          <w:sz w:val="24"/>
          <w:szCs w:val="24"/>
        </w:rPr>
      </w:pPr>
      <w:r w:rsidRPr="002C6D94">
        <w:rPr>
          <w:color w:val="000000" w:themeColor="text1"/>
          <w:sz w:val="40"/>
          <w:szCs w:val="40"/>
        </w:rPr>
        <w:t xml:space="preserve">January </w:t>
      </w:r>
      <w:r w:rsidR="00DB4CDB">
        <w:rPr>
          <w:color w:val="000000" w:themeColor="text1"/>
          <w:sz w:val="40"/>
          <w:szCs w:val="40"/>
        </w:rPr>
        <w:t>30</w:t>
      </w:r>
      <w:r w:rsidRPr="002C6D94">
        <w:rPr>
          <w:color w:val="000000" w:themeColor="text1"/>
          <w:sz w:val="40"/>
          <w:szCs w:val="40"/>
        </w:rPr>
        <w:t>, 2015 Session Summary</w:t>
      </w:r>
    </w:p>
    <w:p w:rsidR="00DD1CBC" w:rsidRDefault="0045629B"/>
    <w:p w:rsidR="00B53C2B" w:rsidRDefault="002C6D94">
      <w:pPr>
        <w:sectPr w:rsidR="00B53C2B">
          <w:pgSz w:w="12240" w:h="15840"/>
          <w:pgMar w:top="1440" w:right="1440" w:bottom="1440" w:left="1440" w:header="720" w:footer="720" w:gutter="0"/>
          <w:cols w:space="720"/>
          <w:docGrid w:linePitch="360"/>
        </w:sectPr>
      </w:pPr>
      <w:bookmarkStart w:id="0" w:name="_GoBack"/>
      <w:bookmarkEnd w:id="0"/>
      <w:r>
        <w:rPr>
          <w:noProof/>
        </w:rPr>
        <w:drawing>
          <wp:anchor distT="0" distB="0" distL="114300" distR="114300" simplePos="0" relativeHeight="251660288" behindDoc="1" locked="0" layoutInCell="1" allowOverlap="1">
            <wp:simplePos x="0" y="0"/>
            <wp:positionH relativeFrom="margin">
              <wp:posOffset>2095500</wp:posOffset>
            </wp:positionH>
            <wp:positionV relativeFrom="paragraph">
              <wp:posOffset>2513965</wp:posOffset>
            </wp:positionV>
            <wp:extent cx="1743075" cy="466725"/>
            <wp:effectExtent l="0" t="0" r="9525" b="9525"/>
            <wp:wrapTight wrapText="bothSides">
              <wp:wrapPolygon edited="0">
                <wp:start x="0" y="0"/>
                <wp:lineTo x="0" y="21159"/>
                <wp:lineTo x="21482" y="21159"/>
                <wp:lineTo x="21482" y="4408"/>
                <wp:lineTo x="11095" y="0"/>
                <wp:lineTo x="0" y="0"/>
              </wp:wrapPolygon>
            </wp:wrapTight>
            <wp:docPr id="12" name="Picture 9" descr="PMG-logo-High-ResTRANSDarker53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G-logo-High-ResTRANSDarker53 copy.png"/>
                    <pic:cNvPicPr/>
                  </pic:nvPicPr>
                  <pic:blipFill>
                    <a:blip r:embed="rId9" cstate="print"/>
                    <a:stretch>
                      <a:fillRect/>
                    </a:stretch>
                  </pic:blipFill>
                  <pic:spPr>
                    <a:xfrm>
                      <a:off x="0" y="0"/>
                      <a:ext cx="1743075" cy="466725"/>
                    </a:xfrm>
                    <a:prstGeom prst="rect">
                      <a:avLst/>
                    </a:prstGeom>
                  </pic:spPr>
                </pic:pic>
              </a:graphicData>
            </a:graphic>
          </wp:anchor>
        </w:drawing>
      </w:r>
      <w:r w:rsidR="0090273D">
        <w:rPr>
          <w:noProof/>
        </w:rPr>
        <w:pict>
          <v:shapetype id="_x0000_t202" coordsize="21600,21600" o:spt="202" path="m,l,21600r21600,l21600,xe">
            <v:stroke joinstyle="miter"/>
            <v:path gradientshapeok="t" o:connecttype="rect"/>
          </v:shapetype>
          <v:shape id="Text Box 4" o:spid="_x0000_s1026" type="#_x0000_t202" style="position:absolute;margin-left:-35.25pt;margin-top:272.6pt;width:538.5pt;height:4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" stroked="f">
            <v:textbox>
              <w:txbxContent>
                <w:p w:rsidR="00B53C2B" w:rsidRPr="0006589C" w:rsidRDefault="00B53C2B" w:rsidP="00B53C2B">
                  <w:pPr>
                    <w:spacing w:after="0" w:line="240" w:lineRule="auto"/>
                    <w:jc w:val="center"/>
                    <w:rPr>
                      <w:rFonts w:cs="Calibri"/>
                      <w:sz w:val="20"/>
                      <w:szCs w:val="20"/>
                    </w:rPr>
                  </w:pPr>
                  <w:r w:rsidRPr="0006589C">
                    <w:rPr>
                      <w:sz w:val="20"/>
                      <w:szCs w:val="20"/>
                    </w:rPr>
                    <w:t xml:space="preserve">Performance Management Group </w:t>
                  </w:r>
                  <w:r w:rsidRPr="0006589C">
                    <w:rPr>
                      <w:rFonts w:ascii="Arial" w:hAnsi="Arial" w:cs="Arial"/>
                      <w:sz w:val="20"/>
                      <w:szCs w:val="20"/>
                    </w:rPr>
                    <w:t>●</w:t>
                  </w:r>
                  <w:r w:rsidRPr="0006589C">
                    <w:rPr>
                      <w:rFonts w:cs="Calibri"/>
                      <w:sz w:val="20"/>
                      <w:szCs w:val="20"/>
                    </w:rPr>
                    <w:t xml:space="preserve"> Virginia Commonwealth University</w:t>
                  </w:r>
                </w:p>
                <w:p w:rsidR="00B53C2B" w:rsidRPr="0006589C" w:rsidRDefault="00B53C2B" w:rsidP="00B53C2B">
                  <w:pPr>
                    <w:spacing w:after="0" w:line="240" w:lineRule="auto"/>
                    <w:jc w:val="center"/>
                    <w:rPr>
                      <w:sz w:val="20"/>
                      <w:szCs w:val="20"/>
                    </w:rPr>
                  </w:pPr>
                  <w:r w:rsidRPr="0006589C">
                    <w:rPr>
                      <w:sz w:val="20"/>
                      <w:szCs w:val="20"/>
                    </w:rPr>
                    <w:t xml:space="preserve">P.O. Box 843024 </w:t>
                  </w:r>
                  <w:r w:rsidRPr="0006589C">
                    <w:rPr>
                      <w:rFonts w:ascii="Arial" w:hAnsi="Arial" w:cs="Arial"/>
                      <w:sz w:val="20"/>
                      <w:szCs w:val="20"/>
                    </w:rPr>
                    <w:t>●</w:t>
                  </w:r>
                  <w:r w:rsidRPr="0006589C">
                    <w:rPr>
                      <w:rFonts w:cs="Calibri"/>
                      <w:sz w:val="20"/>
                      <w:szCs w:val="20"/>
                    </w:rPr>
                    <w:t xml:space="preserve"> 1014 W. Franklin Street </w:t>
                  </w:r>
                  <w:r w:rsidRPr="0006589C">
                    <w:rPr>
                      <w:rFonts w:ascii="Arial" w:hAnsi="Arial" w:cs="Arial"/>
                      <w:sz w:val="20"/>
                      <w:szCs w:val="20"/>
                    </w:rPr>
                    <w:t xml:space="preserve">● </w:t>
                  </w:r>
                  <w:r w:rsidRPr="0006589C">
                    <w:rPr>
                      <w:rFonts w:cs="Calibri"/>
                      <w:sz w:val="20"/>
                      <w:szCs w:val="20"/>
                    </w:rPr>
                    <w:t xml:space="preserve">Richmond, VA 23284 </w:t>
                  </w:r>
                  <w:r w:rsidRPr="0006589C">
                    <w:rPr>
                      <w:rFonts w:ascii="Arial" w:hAnsi="Arial" w:cs="Arial"/>
                      <w:sz w:val="20"/>
                      <w:szCs w:val="20"/>
                    </w:rPr>
                    <w:t>●</w:t>
                  </w:r>
                  <w:r w:rsidRPr="0006589C">
                    <w:rPr>
                      <w:rFonts w:cs="Calibri"/>
                      <w:sz w:val="20"/>
                      <w:szCs w:val="20"/>
                    </w:rPr>
                    <w:t xml:space="preserve"> 804.828.8845 </w:t>
                  </w:r>
                  <w:r w:rsidRPr="0006589C">
                    <w:rPr>
                      <w:rFonts w:ascii="Arial" w:hAnsi="Arial" w:cs="Arial"/>
                      <w:sz w:val="20"/>
                      <w:szCs w:val="20"/>
                    </w:rPr>
                    <w:t>●</w:t>
                  </w:r>
                  <w:r w:rsidRPr="0006589C">
                    <w:rPr>
                      <w:rFonts w:cs="Calibri"/>
                      <w:sz w:val="20"/>
                      <w:szCs w:val="20"/>
                    </w:rPr>
                    <w:t xml:space="preserve"> www.pmg.vcu.edu</w:t>
                  </w:r>
                </w:p>
              </w:txbxContent>
            </v:textbox>
            <w10:wrap type="square" anchorx="margin"/>
          </v:shape>
        </w:pict>
      </w:r>
    </w:p>
    <w:p w:rsidR="00B53C2B" w:rsidRPr="00F060B9" w:rsidRDefault="002C6D94" w:rsidP="00F060B9">
      <w:pPr>
        <w:pStyle w:val="Heading1"/>
      </w:pPr>
      <w:r w:rsidRPr="00F060B9">
        <w:lastRenderedPageBreak/>
        <w:t>Overview</w:t>
      </w:r>
    </w:p>
    <w:p w:rsidR="002C6D94" w:rsidRPr="00F060B9" w:rsidRDefault="002C6D94" w:rsidP="002C6D94">
      <w:pPr>
        <w:rPr>
          <w:sz w:val="24"/>
          <w:szCs w:val="24"/>
        </w:rPr>
      </w:pPr>
    </w:p>
    <w:p w:rsidR="002C6D94" w:rsidRPr="002C6D94" w:rsidRDefault="002C6D94" w:rsidP="005825F6">
      <w:pPr>
        <w:jc w:val="both"/>
        <w:rPr>
          <w:sz w:val="24"/>
          <w:szCs w:val="24"/>
        </w:rPr>
      </w:pPr>
      <w:r w:rsidRPr="002C6D94">
        <w:rPr>
          <w:sz w:val="24"/>
          <w:szCs w:val="24"/>
        </w:rPr>
        <w:t xml:space="preserve">Members of the Coordinating Access – Responding Effectively (CARE) interagency work group </w:t>
      </w:r>
      <w:r w:rsidR="00DB4CDB">
        <w:rPr>
          <w:sz w:val="24"/>
          <w:szCs w:val="24"/>
        </w:rPr>
        <w:t>conducted their second meeting to continue their</w:t>
      </w:r>
      <w:r w:rsidRPr="002C6D94">
        <w:rPr>
          <w:sz w:val="24"/>
          <w:szCs w:val="24"/>
        </w:rPr>
        <w:t xml:space="preserve"> planning process to address maternal substance use and the needs of substance exposed and endangered children.  The meeting was held at the Virginia Housing Center in Glen Allen, Virginia.</w:t>
      </w:r>
    </w:p>
    <w:p w:rsidR="005825F6" w:rsidRDefault="005825F6" w:rsidP="00F060B9">
      <w:pPr>
        <w:pStyle w:val="Heading1"/>
      </w:pPr>
      <w:r>
        <w:t>Presentations</w:t>
      </w:r>
    </w:p>
    <w:p w:rsidR="005825F6" w:rsidRPr="005825F6" w:rsidRDefault="005825F6" w:rsidP="005825F6">
      <w:pPr>
        <w:rPr>
          <w:sz w:val="24"/>
          <w:szCs w:val="24"/>
        </w:rPr>
      </w:pPr>
    </w:p>
    <w:p w:rsidR="005825F6" w:rsidRPr="005825F6" w:rsidRDefault="005825F6" w:rsidP="005825F6">
      <w:pPr>
        <w:rPr>
          <w:sz w:val="24"/>
          <w:szCs w:val="24"/>
        </w:rPr>
      </w:pPr>
      <w:r w:rsidRPr="005825F6">
        <w:rPr>
          <w:sz w:val="24"/>
          <w:szCs w:val="24"/>
        </w:rPr>
        <w:t xml:space="preserve">Several </w:t>
      </w:r>
      <w:r w:rsidR="00DB4CDB">
        <w:rPr>
          <w:sz w:val="24"/>
          <w:szCs w:val="24"/>
        </w:rPr>
        <w:t>presentations were provided</w:t>
      </w:r>
      <w:r w:rsidRPr="005825F6">
        <w:rPr>
          <w:sz w:val="24"/>
          <w:szCs w:val="24"/>
        </w:rPr>
        <w:t xml:space="preserve"> during the morning session</w:t>
      </w:r>
      <w:r w:rsidR="00E30A38">
        <w:rPr>
          <w:sz w:val="24"/>
          <w:szCs w:val="24"/>
        </w:rPr>
        <w:t>, including</w:t>
      </w:r>
      <w:r w:rsidRPr="005825F6">
        <w:rPr>
          <w:sz w:val="24"/>
          <w:szCs w:val="24"/>
        </w:rPr>
        <w:t>:</w:t>
      </w:r>
    </w:p>
    <w:p w:rsidR="005825F6" w:rsidRPr="005825F6" w:rsidRDefault="001C71DC" w:rsidP="001C71DC">
      <w:pPr>
        <w:spacing w:after="0" w:line="240" w:lineRule="auto"/>
        <w:rPr>
          <w:sz w:val="24"/>
          <w:szCs w:val="24"/>
        </w:rPr>
      </w:pPr>
      <w:r>
        <w:rPr>
          <w:b/>
          <w:i/>
          <w:sz w:val="24"/>
          <w:szCs w:val="24"/>
        </w:rPr>
        <w:t>Virginia’s Substance Exposed Infant (SEI) Legislation</w:t>
      </w:r>
    </w:p>
    <w:p w:rsidR="001C71DC" w:rsidRDefault="001C71DC" w:rsidP="001C71DC">
      <w:pPr>
        <w:pStyle w:val="ListParagraph"/>
        <w:numPr>
          <w:ilvl w:val="0"/>
          <w:numId w:val="3"/>
        </w:numPr>
        <w:spacing w:after="160" w:line="259" w:lineRule="auto"/>
        <w:ind w:left="720"/>
        <w:rPr>
          <w:sz w:val="24"/>
          <w:szCs w:val="24"/>
        </w:rPr>
      </w:pPr>
      <w:r w:rsidRPr="001C71DC">
        <w:rPr>
          <w:sz w:val="24"/>
          <w:szCs w:val="24"/>
          <w:u w:val="single"/>
        </w:rPr>
        <w:t>Code Of Virginia §54.1-2403.01</w:t>
      </w:r>
      <w:r>
        <w:rPr>
          <w:sz w:val="24"/>
          <w:szCs w:val="24"/>
        </w:rPr>
        <w:t>:  Prenatal Care Providers Must take a Medical History of Their Patients Substance Use</w:t>
      </w:r>
    </w:p>
    <w:p w:rsidR="001C71DC" w:rsidRPr="001C71DC" w:rsidRDefault="001C71DC" w:rsidP="001C71DC">
      <w:pPr>
        <w:pStyle w:val="ListParagraph"/>
        <w:numPr>
          <w:ilvl w:val="0"/>
          <w:numId w:val="3"/>
        </w:numPr>
        <w:spacing w:after="160" w:line="259" w:lineRule="auto"/>
        <w:ind w:left="720"/>
        <w:rPr>
          <w:sz w:val="24"/>
          <w:szCs w:val="24"/>
        </w:rPr>
      </w:pPr>
      <w:r>
        <w:rPr>
          <w:sz w:val="24"/>
          <w:szCs w:val="24"/>
          <w:u w:val="single"/>
        </w:rPr>
        <w:t>Code of Virginia §63.2-1509:</w:t>
      </w:r>
      <w:r w:rsidRPr="001C71DC">
        <w:rPr>
          <w:sz w:val="24"/>
          <w:szCs w:val="24"/>
        </w:rPr>
        <w:t xml:space="preserve">  Providers Must Report Suspected Substance Exposed Newborns to Child protective Services</w:t>
      </w:r>
    </w:p>
    <w:p w:rsidR="001C71DC" w:rsidRDefault="001C71DC" w:rsidP="001C71DC">
      <w:pPr>
        <w:pStyle w:val="ListParagraph"/>
        <w:numPr>
          <w:ilvl w:val="0"/>
          <w:numId w:val="3"/>
        </w:numPr>
        <w:spacing w:after="160" w:line="259" w:lineRule="auto"/>
        <w:ind w:left="720"/>
        <w:rPr>
          <w:sz w:val="24"/>
          <w:szCs w:val="24"/>
        </w:rPr>
      </w:pPr>
      <w:r w:rsidRPr="001C71DC">
        <w:rPr>
          <w:sz w:val="24"/>
          <w:szCs w:val="24"/>
          <w:u w:val="single"/>
        </w:rPr>
        <w:t>Code of Virginia §32.1-127</w:t>
      </w:r>
      <w:r>
        <w:rPr>
          <w:sz w:val="24"/>
          <w:szCs w:val="24"/>
        </w:rPr>
        <w:t>: Hospitals Must Refer Identified Substance Using Postpartum Women to their CSB for Services</w:t>
      </w:r>
    </w:p>
    <w:p w:rsidR="00E30A38" w:rsidRPr="001C71DC" w:rsidRDefault="001C71DC" w:rsidP="00E30A38">
      <w:pPr>
        <w:rPr>
          <w:b/>
          <w:i/>
          <w:sz w:val="24"/>
          <w:szCs w:val="24"/>
        </w:rPr>
      </w:pPr>
      <w:r w:rsidRPr="001C71DC">
        <w:rPr>
          <w:b/>
          <w:i/>
          <w:sz w:val="24"/>
          <w:szCs w:val="24"/>
        </w:rPr>
        <w:t>Policies and Procedures the Guide CPS SEI Investigations and Responses</w:t>
      </w:r>
    </w:p>
    <w:p w:rsidR="001C71DC" w:rsidRDefault="001C71DC" w:rsidP="00E30A38">
      <w:pPr>
        <w:rPr>
          <w:b/>
          <w:i/>
          <w:sz w:val="24"/>
          <w:szCs w:val="24"/>
        </w:rPr>
      </w:pPr>
      <w:r w:rsidRPr="001C71DC">
        <w:rPr>
          <w:b/>
          <w:i/>
          <w:sz w:val="24"/>
          <w:szCs w:val="24"/>
        </w:rPr>
        <w:t>Screening Brief Intervention and Referral to Treatment (SBIRT)</w:t>
      </w:r>
    </w:p>
    <w:p w:rsidR="001C71DC" w:rsidRPr="001C71DC" w:rsidRDefault="001C71DC" w:rsidP="00E30A38">
      <w:pPr>
        <w:rPr>
          <w:sz w:val="24"/>
          <w:szCs w:val="24"/>
        </w:rPr>
      </w:pPr>
    </w:p>
    <w:p w:rsidR="005825F6" w:rsidRDefault="00E30A38" w:rsidP="00F060B9">
      <w:pPr>
        <w:pStyle w:val="Heading1"/>
      </w:pPr>
      <w:r>
        <w:t>Facilitated Work Sessions</w:t>
      </w:r>
    </w:p>
    <w:p w:rsidR="00E30A38" w:rsidRPr="00F060B9" w:rsidRDefault="00E30A38" w:rsidP="00E30A38">
      <w:pPr>
        <w:rPr>
          <w:sz w:val="24"/>
          <w:szCs w:val="24"/>
        </w:rPr>
      </w:pPr>
    </w:p>
    <w:p w:rsidR="00E30A38" w:rsidRDefault="00F060B9" w:rsidP="00F060B9">
      <w:pPr>
        <w:jc w:val="both"/>
        <w:rPr>
          <w:sz w:val="24"/>
          <w:szCs w:val="24"/>
        </w:rPr>
      </w:pPr>
      <w:r>
        <w:rPr>
          <w:sz w:val="24"/>
          <w:szCs w:val="24"/>
        </w:rPr>
        <w:t>Work</w:t>
      </w:r>
      <w:r w:rsidRPr="00F060B9">
        <w:rPr>
          <w:sz w:val="24"/>
          <w:szCs w:val="24"/>
        </w:rPr>
        <w:t xml:space="preserve"> group members</w:t>
      </w:r>
      <w:r>
        <w:rPr>
          <w:sz w:val="24"/>
          <w:szCs w:val="24"/>
        </w:rPr>
        <w:t xml:space="preserve"> were led through a series of facilitated discussions by Greg Brittingham, Senior Consultant with PMG, to identify barriers and opportunities regarding </w:t>
      </w:r>
      <w:r w:rsidR="001C71DC">
        <w:rPr>
          <w:sz w:val="24"/>
          <w:szCs w:val="24"/>
        </w:rPr>
        <w:t xml:space="preserve">screening and treatment of </w:t>
      </w:r>
      <w:r>
        <w:rPr>
          <w:sz w:val="24"/>
          <w:szCs w:val="24"/>
        </w:rPr>
        <w:t>pregnant women with substance use issues.  Participants worked in small groups to share and document their ideas and provided presentations to the larger group for discussion.  PMG staff documented all participant comments and</w:t>
      </w:r>
      <w:r w:rsidR="00F933A3">
        <w:rPr>
          <w:sz w:val="24"/>
          <w:szCs w:val="24"/>
        </w:rPr>
        <w:t xml:space="preserve"> analyzed the content to identify common themes.  Please note that themes are not listed in any order of priority and are highly interdependent, reflecting the complexity of maternal substance use.</w:t>
      </w:r>
    </w:p>
    <w:p w:rsidR="00F933A3" w:rsidRPr="00E27C73" w:rsidRDefault="00F933A3" w:rsidP="00315AF3">
      <w:pPr>
        <w:pStyle w:val="Heading2"/>
        <w:spacing w:after="200"/>
        <w:rPr>
          <w:b/>
          <w:color w:val="auto"/>
          <w:u w:val="single"/>
        </w:rPr>
      </w:pPr>
      <w:r w:rsidRPr="00E27C73">
        <w:rPr>
          <w:b/>
          <w:color w:val="auto"/>
          <w:u w:val="single"/>
        </w:rPr>
        <w:lastRenderedPageBreak/>
        <w:t xml:space="preserve">Barriers to </w:t>
      </w:r>
      <w:r w:rsidR="00076FFB">
        <w:rPr>
          <w:b/>
          <w:color w:val="auto"/>
          <w:u w:val="single"/>
        </w:rPr>
        <w:t>Screening and Treatment</w:t>
      </w:r>
    </w:p>
    <w:p w:rsidR="00E27C73" w:rsidRDefault="007552A2" w:rsidP="00F060B9">
      <w:pPr>
        <w:jc w:val="both"/>
        <w:rPr>
          <w:sz w:val="24"/>
          <w:szCs w:val="24"/>
        </w:rPr>
      </w:pPr>
      <w:proofErr w:type="gramStart"/>
      <w:r>
        <w:rPr>
          <w:b/>
          <w:sz w:val="24"/>
          <w:szCs w:val="24"/>
        </w:rPr>
        <w:t>Insufficient Resources</w:t>
      </w:r>
      <w:r w:rsidR="00E27C73">
        <w:rPr>
          <w:sz w:val="24"/>
          <w:szCs w:val="24"/>
        </w:rPr>
        <w:t>.</w:t>
      </w:r>
      <w:proofErr w:type="gramEnd"/>
      <w:r w:rsidR="00E27C73">
        <w:rPr>
          <w:sz w:val="24"/>
          <w:szCs w:val="24"/>
        </w:rPr>
        <w:t xml:space="preserve">  </w:t>
      </w:r>
      <w:r>
        <w:rPr>
          <w:sz w:val="24"/>
          <w:szCs w:val="24"/>
        </w:rPr>
        <w:t xml:space="preserve">Outpatient and inpatient substance abuse services are not equally distributed throughout the state resulting in regions where treatment options are very limited.  </w:t>
      </w:r>
      <w:proofErr w:type="gramStart"/>
      <w:r>
        <w:rPr>
          <w:sz w:val="24"/>
          <w:szCs w:val="24"/>
        </w:rPr>
        <w:t>Insufficient funding for services, limited or nonexistent public transportation, and lack of insurance present challenges for many women, especially in rural areas.</w:t>
      </w:r>
      <w:proofErr w:type="gramEnd"/>
      <w:r>
        <w:rPr>
          <w:sz w:val="24"/>
          <w:szCs w:val="24"/>
        </w:rPr>
        <w:t xml:space="preserve">  Women traveling from neighboring states seeking treatment further strains limited resources.</w:t>
      </w:r>
    </w:p>
    <w:p w:rsidR="006B10B7" w:rsidRDefault="0010152A" w:rsidP="00F060B9">
      <w:pPr>
        <w:jc w:val="both"/>
        <w:rPr>
          <w:sz w:val="24"/>
          <w:szCs w:val="24"/>
        </w:rPr>
      </w:pPr>
      <w:proofErr w:type="gramStart"/>
      <w:r w:rsidRPr="0010152A">
        <w:rPr>
          <w:b/>
          <w:sz w:val="24"/>
          <w:szCs w:val="24"/>
        </w:rPr>
        <w:t xml:space="preserve">Confusion </w:t>
      </w:r>
      <w:r>
        <w:rPr>
          <w:b/>
          <w:sz w:val="24"/>
          <w:szCs w:val="24"/>
        </w:rPr>
        <w:t>about</w:t>
      </w:r>
      <w:r w:rsidRPr="0010152A">
        <w:rPr>
          <w:b/>
          <w:sz w:val="24"/>
          <w:szCs w:val="24"/>
        </w:rPr>
        <w:t xml:space="preserve"> Legal Requirements</w:t>
      </w:r>
      <w:r>
        <w:rPr>
          <w:sz w:val="24"/>
          <w:szCs w:val="24"/>
        </w:rPr>
        <w:t>.</w:t>
      </w:r>
      <w:proofErr w:type="gramEnd"/>
      <w:r>
        <w:rPr>
          <w:sz w:val="24"/>
          <w:szCs w:val="24"/>
        </w:rPr>
        <w:t xml:space="preserve">  </w:t>
      </w:r>
      <w:proofErr w:type="gramStart"/>
      <w:r w:rsidR="007552A2">
        <w:rPr>
          <w:sz w:val="24"/>
          <w:szCs w:val="24"/>
        </w:rPr>
        <w:t>Inconsistent interpretations of state codes regarding child abuse and neglect, substance abuse and maternal screening exists</w:t>
      </w:r>
      <w:proofErr w:type="gramEnd"/>
      <w:r w:rsidR="007552A2">
        <w:rPr>
          <w:sz w:val="24"/>
          <w:szCs w:val="24"/>
        </w:rPr>
        <w:t xml:space="preserve"> across the state.  The Department of Social Services (DSS) is not mandated to refer women to local CSBs for substance abuse screening and treatment.  </w:t>
      </w:r>
      <w:r w:rsidR="0027099C">
        <w:rPr>
          <w:sz w:val="24"/>
          <w:szCs w:val="24"/>
        </w:rPr>
        <w:t>Medical providers are not always knowledgeable about legal requirements.  Judges vary in their approach to women with substance abuse issues with some taking a punitive approach while others seek more therapeutic options.  The CPS mandated timeline for investigation and action does not coincide with treatment timelines.  Multiple messages to health care providers regarding reporting and referral raise privacy concerns from patients and providers.</w:t>
      </w:r>
    </w:p>
    <w:p w:rsidR="00495E13" w:rsidRDefault="0027099C" w:rsidP="00F060B9">
      <w:pPr>
        <w:jc w:val="both"/>
        <w:rPr>
          <w:sz w:val="24"/>
          <w:szCs w:val="24"/>
        </w:rPr>
      </w:pPr>
      <w:proofErr w:type="gramStart"/>
      <w:r w:rsidRPr="00EB38CF">
        <w:rPr>
          <w:b/>
          <w:sz w:val="24"/>
          <w:szCs w:val="24"/>
        </w:rPr>
        <w:t>Inconsistent Standards and Definitions</w:t>
      </w:r>
      <w:r>
        <w:rPr>
          <w:sz w:val="24"/>
          <w:szCs w:val="24"/>
        </w:rPr>
        <w:t>.</w:t>
      </w:r>
      <w:proofErr w:type="gramEnd"/>
      <w:r>
        <w:rPr>
          <w:sz w:val="24"/>
          <w:szCs w:val="24"/>
        </w:rPr>
        <w:t xml:space="preserve">  Services are often constrained by silos at the community and state level with a lack of communication and coordination among providers.  Substance abuse testing and reporting is inconsistent among physicians and hospitals due to no universal standards or protocols.  </w:t>
      </w:r>
      <w:r w:rsidR="00EB38CF">
        <w:rPr>
          <w:sz w:val="24"/>
          <w:szCs w:val="24"/>
        </w:rPr>
        <w:t>No protocols are in place for consistent screening to determine risk.  Systems sometimes separate the needs of the mother and child and do not recognize that a safe mom equals a safe child.  Standard, accepted definitions of SEI are not in place.</w:t>
      </w:r>
    </w:p>
    <w:p w:rsidR="00EB38CF" w:rsidRDefault="00EB38CF" w:rsidP="00F060B9">
      <w:pPr>
        <w:jc w:val="both"/>
        <w:rPr>
          <w:sz w:val="24"/>
          <w:szCs w:val="24"/>
        </w:rPr>
      </w:pPr>
      <w:proofErr w:type="gramStart"/>
      <w:r w:rsidRPr="00EB38CF">
        <w:rPr>
          <w:b/>
          <w:sz w:val="24"/>
          <w:szCs w:val="24"/>
        </w:rPr>
        <w:t>Misinformation and Lack of Understanding</w:t>
      </w:r>
      <w:r>
        <w:rPr>
          <w:sz w:val="24"/>
          <w:szCs w:val="24"/>
        </w:rPr>
        <w:t>.</w:t>
      </w:r>
      <w:proofErr w:type="gramEnd"/>
      <w:r>
        <w:rPr>
          <w:sz w:val="24"/>
          <w:szCs w:val="24"/>
        </w:rPr>
        <w:t xml:space="preserve">  Marijuana and alcohol are not always considered risky by pregnant women regarding infant development.  A general lack of education or misinformation among women reduces their concerns about over using prescription medications.  Female substance abuse is judged more harshly than male substance abuse and is often considered a moral issue rather than a health care issue.  Women from some cultures are discouraged from seeking treatment or limited in their decision-making authority regarding healthcare.</w:t>
      </w:r>
    </w:p>
    <w:p w:rsidR="00EB38CF" w:rsidRDefault="00C55F1F" w:rsidP="00F060B9">
      <w:pPr>
        <w:jc w:val="both"/>
        <w:rPr>
          <w:sz w:val="24"/>
          <w:szCs w:val="24"/>
        </w:rPr>
      </w:pPr>
      <w:r w:rsidRPr="00C55F1F">
        <w:rPr>
          <w:b/>
          <w:sz w:val="24"/>
          <w:szCs w:val="24"/>
        </w:rPr>
        <w:t>No Coordinated System of Care</w:t>
      </w:r>
      <w:r>
        <w:rPr>
          <w:sz w:val="24"/>
          <w:szCs w:val="24"/>
        </w:rPr>
        <w:t xml:space="preserve">.  Localities and service providers do not always have a common vision and shared </w:t>
      </w:r>
      <w:proofErr w:type="gramStart"/>
      <w:r>
        <w:rPr>
          <w:sz w:val="24"/>
          <w:szCs w:val="24"/>
        </w:rPr>
        <w:t>goals which limits</w:t>
      </w:r>
      <w:proofErr w:type="gramEnd"/>
      <w:r>
        <w:rPr>
          <w:sz w:val="24"/>
          <w:szCs w:val="24"/>
        </w:rPr>
        <w:t xml:space="preserve"> communication and coordination.  DSS and parole officers have large caseloads and are not always able to provide effective monitoring for their clients with substance abuse issues.  Data sharing systems are not in place that permit tracking individuals and families across various service systems.</w:t>
      </w:r>
    </w:p>
    <w:p w:rsidR="00EB38CF" w:rsidRDefault="00EB38CF" w:rsidP="00F060B9">
      <w:pPr>
        <w:jc w:val="both"/>
        <w:rPr>
          <w:sz w:val="24"/>
          <w:szCs w:val="24"/>
        </w:rPr>
      </w:pPr>
    </w:p>
    <w:p w:rsidR="00CA574A" w:rsidRDefault="00CA574A" w:rsidP="00315AF3">
      <w:pPr>
        <w:pStyle w:val="Heading2"/>
        <w:spacing w:after="200"/>
        <w:rPr>
          <w:b/>
          <w:color w:val="auto"/>
          <w:u w:val="single"/>
        </w:rPr>
      </w:pPr>
      <w:r>
        <w:rPr>
          <w:b/>
          <w:color w:val="auto"/>
          <w:u w:val="single"/>
        </w:rPr>
        <w:t xml:space="preserve">Opportunities for Improving </w:t>
      </w:r>
      <w:r w:rsidR="00C55F1F">
        <w:rPr>
          <w:b/>
          <w:color w:val="auto"/>
          <w:u w:val="single"/>
        </w:rPr>
        <w:t>Screening and Treatment</w:t>
      </w:r>
    </w:p>
    <w:p w:rsidR="00AC6A86" w:rsidRDefault="0013768B" w:rsidP="00315AF3">
      <w:pPr>
        <w:jc w:val="both"/>
        <w:rPr>
          <w:sz w:val="24"/>
          <w:szCs w:val="24"/>
        </w:rPr>
      </w:pPr>
      <w:r w:rsidRPr="00B57F94">
        <w:rPr>
          <w:b/>
          <w:sz w:val="24"/>
          <w:szCs w:val="24"/>
        </w:rPr>
        <w:t>Establish a Universal System of Care Across Virginia</w:t>
      </w:r>
      <w:r>
        <w:rPr>
          <w:sz w:val="24"/>
          <w:szCs w:val="24"/>
        </w:rPr>
        <w:t>.  Establish consistent definitions of SEI between the various health care and service provider systems.  Create standards of care that includes a model protocol for assessment, screening, testing and referral that supports both mother and child.  Establish universal screening using SBIRT or other evidenced based tools</w:t>
      </w:r>
      <w:r w:rsidR="00B57F94">
        <w:rPr>
          <w:sz w:val="24"/>
          <w:szCs w:val="24"/>
        </w:rPr>
        <w:t>.  Create clear procedures for substance abuse testing and reporting.  Establish a standardized approach to SEI and SEN when CPS becomes involved that takes a family system approach.</w:t>
      </w:r>
    </w:p>
    <w:p w:rsidR="00054489" w:rsidRDefault="00E5271E" w:rsidP="00315AF3">
      <w:pPr>
        <w:jc w:val="both"/>
        <w:rPr>
          <w:sz w:val="24"/>
          <w:szCs w:val="24"/>
        </w:rPr>
      </w:pPr>
      <w:r w:rsidRPr="00E5271E">
        <w:rPr>
          <w:b/>
          <w:sz w:val="24"/>
          <w:szCs w:val="24"/>
        </w:rPr>
        <w:t>Strengthen Local Collaborative Efforts</w:t>
      </w:r>
      <w:r>
        <w:rPr>
          <w:sz w:val="24"/>
          <w:szCs w:val="24"/>
        </w:rPr>
        <w:t>.  Establish memorandums of agreement with ICPC/hospitals near state lines.  Create forums where local service providers and stakeholders, including law enforcement and the courts, can establish a common vision and approach regarding identification and treatment.  Use the Hands System to follow families across systems and promote a coordinated response.</w:t>
      </w:r>
    </w:p>
    <w:p w:rsidR="00B57F94" w:rsidRDefault="00B57F94" w:rsidP="00315AF3">
      <w:pPr>
        <w:jc w:val="both"/>
        <w:rPr>
          <w:sz w:val="24"/>
          <w:szCs w:val="24"/>
        </w:rPr>
      </w:pPr>
      <w:r w:rsidRPr="00B57F94">
        <w:rPr>
          <w:b/>
          <w:sz w:val="24"/>
          <w:szCs w:val="24"/>
        </w:rPr>
        <w:t>Increase Training and Education</w:t>
      </w:r>
      <w:r>
        <w:rPr>
          <w:sz w:val="24"/>
          <w:szCs w:val="24"/>
        </w:rPr>
        <w:t>.  DSS offices should provide best practices training across the state with outreach to core agencies and institutions in their area.  Physician education on maternal substance use during pregnancy should begin in medical school and continue while in practice.  Establish mandatory education requirements for health care providers on legal requirements regarding screening, testing and referrals.  Provide training on best practices regarding pain management during pregnancy for women with substance abuse issues.</w:t>
      </w:r>
    </w:p>
    <w:p w:rsidR="00B57F94" w:rsidRDefault="00B57F94" w:rsidP="00315AF3">
      <w:pPr>
        <w:jc w:val="both"/>
        <w:rPr>
          <w:sz w:val="24"/>
          <w:szCs w:val="24"/>
        </w:rPr>
      </w:pPr>
      <w:r w:rsidRPr="00054489">
        <w:rPr>
          <w:b/>
          <w:sz w:val="24"/>
          <w:szCs w:val="24"/>
        </w:rPr>
        <w:t>Clarify and Strengthen Laws</w:t>
      </w:r>
      <w:r>
        <w:rPr>
          <w:sz w:val="24"/>
          <w:szCs w:val="24"/>
        </w:rPr>
        <w:t xml:space="preserve">.  Change DSS policies or the Virginia Code to mandate DSS make a referral to the appropriate CSB when </w:t>
      </w:r>
      <w:r w:rsidR="00054489">
        <w:rPr>
          <w:sz w:val="24"/>
          <w:szCs w:val="24"/>
        </w:rPr>
        <w:t xml:space="preserve">maternal </w:t>
      </w:r>
      <w:r>
        <w:rPr>
          <w:sz w:val="24"/>
          <w:szCs w:val="24"/>
        </w:rPr>
        <w:t xml:space="preserve">substance abuse is </w:t>
      </w:r>
      <w:r w:rsidR="00054489">
        <w:rPr>
          <w:sz w:val="24"/>
          <w:szCs w:val="24"/>
        </w:rPr>
        <w:t>indicated</w:t>
      </w:r>
      <w:r>
        <w:rPr>
          <w:sz w:val="24"/>
          <w:szCs w:val="24"/>
        </w:rPr>
        <w:t xml:space="preserve">.  </w:t>
      </w:r>
      <w:r w:rsidR="00054489">
        <w:rPr>
          <w:sz w:val="24"/>
          <w:szCs w:val="24"/>
        </w:rPr>
        <w:t>Seek input from the medical field and risk managers to craft legal screening mandates.  Work with the courts to require substance abuse treatment if a child as NAS and the mother is not already in treatment.  Identify protection restrictions across systems, taking 42CFR into consideration, and establish protocols to deal with confidentiality issues.</w:t>
      </w:r>
    </w:p>
    <w:p w:rsidR="00054489" w:rsidRDefault="00054489" w:rsidP="00315AF3">
      <w:pPr>
        <w:jc w:val="both"/>
        <w:rPr>
          <w:sz w:val="24"/>
          <w:szCs w:val="24"/>
        </w:rPr>
      </w:pPr>
      <w:r w:rsidRPr="00054489">
        <w:rPr>
          <w:b/>
          <w:sz w:val="24"/>
          <w:szCs w:val="24"/>
        </w:rPr>
        <w:t>Change Public Perceptions</w:t>
      </w:r>
      <w:r>
        <w:rPr>
          <w:sz w:val="24"/>
          <w:szCs w:val="24"/>
        </w:rPr>
        <w:t xml:space="preserve">.  Implement public media campaigns on the risk and consequences of </w:t>
      </w:r>
      <w:proofErr w:type="spellStart"/>
      <w:r>
        <w:rPr>
          <w:sz w:val="24"/>
          <w:szCs w:val="24"/>
        </w:rPr>
        <w:t>perinatal</w:t>
      </w:r>
      <w:proofErr w:type="spellEnd"/>
      <w:r>
        <w:rPr>
          <w:sz w:val="24"/>
          <w:szCs w:val="24"/>
        </w:rPr>
        <w:t xml:space="preserve"> use and appropriate approaches and available resources.  Help remove the stigma by clarifying that substance abuse is a health issue that requires treatment, not a lapse of morals.  Change perceptions that “the system” is out to punish mothers with substance abuse issues and that seeking help will lead to negative consequences.</w:t>
      </w:r>
    </w:p>
    <w:p w:rsidR="00054489" w:rsidRDefault="00E5271E" w:rsidP="00315AF3">
      <w:pPr>
        <w:jc w:val="both"/>
        <w:rPr>
          <w:sz w:val="24"/>
          <w:szCs w:val="24"/>
        </w:rPr>
      </w:pPr>
      <w:proofErr w:type="gramStart"/>
      <w:r w:rsidRPr="00E5271E">
        <w:rPr>
          <w:b/>
          <w:sz w:val="24"/>
          <w:szCs w:val="24"/>
        </w:rPr>
        <w:t>Increase Funding Support</w:t>
      </w:r>
      <w:r>
        <w:rPr>
          <w:sz w:val="24"/>
          <w:szCs w:val="24"/>
        </w:rPr>
        <w:t>.</w:t>
      </w:r>
      <w:proofErr w:type="gramEnd"/>
      <w:r>
        <w:rPr>
          <w:sz w:val="24"/>
          <w:szCs w:val="24"/>
        </w:rPr>
        <w:t xml:space="preserve">  Explore new funding sources, such as court fines related to substance abuse, which are allocated towards prevention.  Increase PSSF or Block Grant support.  Standardize the procedures for allocating funds for treatment.  Provide full and adequate coverage for providers conducting screening and assessments.</w:t>
      </w:r>
    </w:p>
    <w:p w:rsidR="006B10B7" w:rsidRPr="00F060B9" w:rsidRDefault="006B10B7" w:rsidP="00F060B9">
      <w:pPr>
        <w:jc w:val="both"/>
        <w:rPr>
          <w:sz w:val="24"/>
          <w:szCs w:val="24"/>
        </w:rPr>
      </w:pPr>
    </w:p>
    <w:sectPr w:rsidR="006B10B7" w:rsidRPr="00F060B9" w:rsidSect="00E5271E">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D08" w:rsidRDefault="004B0D08" w:rsidP="00E7542A">
      <w:pPr>
        <w:spacing w:after="0" w:line="240" w:lineRule="auto"/>
      </w:pPr>
      <w:r>
        <w:separator/>
      </w:r>
    </w:p>
  </w:endnote>
  <w:endnote w:type="continuationSeparator" w:id="0">
    <w:p w:rsidR="004B0D08" w:rsidRDefault="004B0D08" w:rsidP="00E75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3097"/>
      <w:docPartObj>
        <w:docPartGallery w:val="Page Numbers (Bottom of Page)"/>
        <w:docPartUnique/>
      </w:docPartObj>
    </w:sdtPr>
    <w:sdtEndPr>
      <w:rPr>
        <w:color w:val="7F7F7F" w:themeColor="background1" w:themeShade="7F"/>
        <w:spacing w:val="60"/>
      </w:rPr>
    </w:sdtEndPr>
    <w:sdtContent>
      <w:p w:rsidR="00E5271E" w:rsidRDefault="0090273D">
        <w:pPr>
          <w:pStyle w:val="Footer"/>
          <w:pBdr>
            <w:top w:val="single" w:sz="4" w:space="1" w:color="D9D9D9" w:themeColor="background1" w:themeShade="D9"/>
          </w:pBdr>
          <w:rPr>
            <w:b/>
            <w:bCs/>
          </w:rPr>
        </w:pPr>
        <w:r w:rsidRPr="0090273D">
          <w:fldChar w:fldCharType="begin"/>
        </w:r>
        <w:r w:rsidR="00E5271E">
          <w:instrText xml:space="preserve"> PAGE   \* MERGEFORMAT </w:instrText>
        </w:r>
        <w:r w:rsidRPr="0090273D">
          <w:fldChar w:fldCharType="separate"/>
        </w:r>
        <w:r w:rsidR="0045629B" w:rsidRPr="0045629B">
          <w:rPr>
            <w:b/>
            <w:bCs/>
            <w:noProof/>
          </w:rPr>
          <w:t>4</w:t>
        </w:r>
        <w:r>
          <w:rPr>
            <w:b/>
            <w:bCs/>
            <w:noProof/>
          </w:rPr>
          <w:fldChar w:fldCharType="end"/>
        </w:r>
        <w:r w:rsidR="00E5271E">
          <w:rPr>
            <w:b/>
            <w:bCs/>
          </w:rPr>
          <w:t xml:space="preserve"> | </w:t>
        </w:r>
        <w:r w:rsidR="00E5271E">
          <w:rPr>
            <w:color w:val="7F7F7F" w:themeColor="background1" w:themeShade="7F"/>
            <w:spacing w:val="60"/>
          </w:rPr>
          <w:t>Page</w:t>
        </w:r>
      </w:p>
    </w:sdtContent>
  </w:sdt>
  <w:p w:rsidR="00E5271E" w:rsidRDefault="00E52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D08" w:rsidRDefault="004B0D08" w:rsidP="00E7542A">
      <w:pPr>
        <w:spacing w:after="0" w:line="240" w:lineRule="auto"/>
      </w:pPr>
      <w:r>
        <w:separator/>
      </w:r>
    </w:p>
  </w:footnote>
  <w:footnote w:type="continuationSeparator" w:id="0">
    <w:p w:rsidR="004B0D08" w:rsidRDefault="004B0D08" w:rsidP="00E754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F109D"/>
    <w:multiLevelType w:val="hybridMultilevel"/>
    <w:tmpl w:val="14241D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9A664AD"/>
    <w:multiLevelType w:val="hybridMultilevel"/>
    <w:tmpl w:val="F8AEB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8C193E"/>
    <w:multiLevelType w:val="hybridMultilevel"/>
    <w:tmpl w:val="093224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53C2B"/>
    <w:rsid w:val="00040101"/>
    <w:rsid w:val="00044492"/>
    <w:rsid w:val="00054489"/>
    <w:rsid w:val="00076FFB"/>
    <w:rsid w:val="00096FD4"/>
    <w:rsid w:val="0010152A"/>
    <w:rsid w:val="0013768B"/>
    <w:rsid w:val="00146FC7"/>
    <w:rsid w:val="001C71DC"/>
    <w:rsid w:val="00211A81"/>
    <w:rsid w:val="0027099C"/>
    <w:rsid w:val="002C6D94"/>
    <w:rsid w:val="00315AF3"/>
    <w:rsid w:val="0045629B"/>
    <w:rsid w:val="00495E13"/>
    <w:rsid w:val="004B0D08"/>
    <w:rsid w:val="005825F6"/>
    <w:rsid w:val="006B10B7"/>
    <w:rsid w:val="006D5A97"/>
    <w:rsid w:val="007552A2"/>
    <w:rsid w:val="0084148F"/>
    <w:rsid w:val="0090273D"/>
    <w:rsid w:val="00AC6A86"/>
    <w:rsid w:val="00B53C2B"/>
    <w:rsid w:val="00B57F94"/>
    <w:rsid w:val="00C55F1F"/>
    <w:rsid w:val="00C667CF"/>
    <w:rsid w:val="00CA574A"/>
    <w:rsid w:val="00DB4CDB"/>
    <w:rsid w:val="00E27C73"/>
    <w:rsid w:val="00E30A38"/>
    <w:rsid w:val="00E5271E"/>
    <w:rsid w:val="00E7542A"/>
    <w:rsid w:val="00EB38CF"/>
    <w:rsid w:val="00F03BB2"/>
    <w:rsid w:val="00F060B9"/>
    <w:rsid w:val="00F914C0"/>
    <w:rsid w:val="00F933A3"/>
    <w:rsid w:val="00FE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C2B"/>
    <w:pPr>
      <w:spacing w:after="200" w:line="276" w:lineRule="auto"/>
    </w:pPr>
    <w:rPr>
      <w:rFonts w:eastAsiaTheme="minorEastAsia"/>
    </w:rPr>
  </w:style>
  <w:style w:type="paragraph" w:styleId="Heading1">
    <w:name w:val="heading 1"/>
    <w:basedOn w:val="Normal"/>
    <w:next w:val="Normal"/>
    <w:link w:val="Heading1Char"/>
    <w:uiPriority w:val="9"/>
    <w:qFormat/>
    <w:rsid w:val="00F060B9"/>
    <w:pPr>
      <w:keepNext/>
      <w:keepLines/>
      <w:pBdr>
        <w:bottom w:val="single" w:sz="24" w:space="1" w:color="538135" w:themeColor="accent6" w:themeShade="BF"/>
      </w:pBdr>
      <w:spacing w:before="240" w:after="0"/>
      <w:outlineLvl w:val="0"/>
    </w:pPr>
    <w:rPr>
      <w:rFonts w:asciiTheme="majorHAnsi" w:eastAsiaTheme="majorEastAsia" w:hAnsiTheme="majorHAnsi" w:cstheme="majorBidi"/>
      <w:b/>
      <w:color w:val="538135" w:themeColor="accent6" w:themeShade="BF"/>
      <w:sz w:val="32"/>
      <w:szCs w:val="32"/>
    </w:rPr>
  </w:style>
  <w:style w:type="paragraph" w:styleId="Heading2">
    <w:name w:val="heading 2"/>
    <w:basedOn w:val="Normal"/>
    <w:next w:val="Normal"/>
    <w:link w:val="Heading2Char"/>
    <w:uiPriority w:val="9"/>
    <w:unhideWhenUsed/>
    <w:qFormat/>
    <w:rsid w:val="002C6D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3C2B"/>
    <w:rPr>
      <w:b/>
      <w:bCs/>
    </w:rPr>
  </w:style>
  <w:style w:type="character" w:customStyle="1" w:styleId="Heading1Char">
    <w:name w:val="Heading 1 Char"/>
    <w:basedOn w:val="DefaultParagraphFont"/>
    <w:link w:val="Heading1"/>
    <w:uiPriority w:val="9"/>
    <w:rsid w:val="00F060B9"/>
    <w:rPr>
      <w:rFonts w:asciiTheme="majorHAnsi" w:eastAsiaTheme="majorEastAsia" w:hAnsiTheme="majorHAnsi" w:cstheme="majorBidi"/>
      <w:b/>
      <w:color w:val="538135" w:themeColor="accent6" w:themeShade="BF"/>
      <w:sz w:val="32"/>
      <w:szCs w:val="32"/>
    </w:rPr>
  </w:style>
  <w:style w:type="character" w:customStyle="1" w:styleId="Heading2Char">
    <w:name w:val="Heading 2 Char"/>
    <w:basedOn w:val="DefaultParagraphFont"/>
    <w:link w:val="Heading2"/>
    <w:uiPriority w:val="9"/>
    <w:rsid w:val="002C6D9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E75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42A"/>
    <w:rPr>
      <w:rFonts w:eastAsiaTheme="minorEastAsia"/>
      <w:sz w:val="20"/>
      <w:szCs w:val="20"/>
    </w:rPr>
  </w:style>
  <w:style w:type="character" w:styleId="FootnoteReference">
    <w:name w:val="footnote reference"/>
    <w:basedOn w:val="DefaultParagraphFont"/>
    <w:uiPriority w:val="99"/>
    <w:semiHidden/>
    <w:unhideWhenUsed/>
    <w:rsid w:val="00E7542A"/>
    <w:rPr>
      <w:vertAlign w:val="superscript"/>
    </w:rPr>
  </w:style>
  <w:style w:type="paragraph" w:styleId="ListParagraph">
    <w:name w:val="List Paragraph"/>
    <w:basedOn w:val="Normal"/>
    <w:uiPriority w:val="34"/>
    <w:qFormat/>
    <w:rsid w:val="00E7542A"/>
    <w:pPr>
      <w:ind w:left="720"/>
      <w:contextualSpacing/>
    </w:pPr>
  </w:style>
  <w:style w:type="paragraph" w:styleId="Header">
    <w:name w:val="header"/>
    <w:basedOn w:val="Normal"/>
    <w:link w:val="HeaderChar"/>
    <w:uiPriority w:val="99"/>
    <w:unhideWhenUsed/>
    <w:rsid w:val="00E52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71E"/>
    <w:rPr>
      <w:rFonts w:eastAsiaTheme="minorEastAsia"/>
    </w:rPr>
  </w:style>
  <w:style w:type="paragraph" w:styleId="Footer">
    <w:name w:val="footer"/>
    <w:basedOn w:val="Normal"/>
    <w:link w:val="FooterChar"/>
    <w:uiPriority w:val="99"/>
    <w:unhideWhenUsed/>
    <w:rsid w:val="00E5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71E"/>
    <w:rPr>
      <w:rFonts w:eastAsiaTheme="minorEastAsia"/>
    </w:rPr>
  </w:style>
  <w:style w:type="paragraph" w:styleId="BalloonText">
    <w:name w:val="Balloon Text"/>
    <w:basedOn w:val="Normal"/>
    <w:link w:val="BalloonTextChar"/>
    <w:uiPriority w:val="99"/>
    <w:semiHidden/>
    <w:unhideWhenUsed/>
    <w:rsid w:val="00456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29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6B65-9B26-46FA-98DD-17C47CDF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L Brittingham</dc:creator>
  <cp:lastModifiedBy>Martha Kurgans</cp:lastModifiedBy>
  <cp:revision>2</cp:revision>
  <dcterms:created xsi:type="dcterms:W3CDTF">2015-03-09T15:44:00Z</dcterms:created>
  <dcterms:modified xsi:type="dcterms:W3CDTF">2015-03-09T15:44:00Z</dcterms:modified>
</cp:coreProperties>
</file>